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lavori di importo pari o superiore a 40.000 euro e inferiore a 150.000 euro mediante il sistema della procedura negoziata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lavori di importo pari o superiore a 40.000 euro e inferiore a 150.000 euro mediante il sistema della procedura negoziata.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